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23A1CF7F" w:rsidR="00C2176F" w:rsidRPr="0041117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</w:t>
            </w:r>
            <w:r w:rsidR="0041117F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 RENDICONTAZIONE</w:t>
            </w:r>
            <w:r w:rsidR="002077EE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</w:t>
            </w:r>
            <w:r w:rsidR="00E56D31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LA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E56D31" w:rsidRPr="004C684E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MILESTONE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AE1BC9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2-4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0D9118F" w:rsidR="001150EA" w:rsidRPr="00B41C3F" w:rsidRDefault="00BE6328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9461EC5" w14:textId="32836EDF" w:rsidR="00010327" w:rsidRPr="00CC23DB" w:rsidRDefault="001150EA" w:rsidP="00010327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010327" w:rsidRPr="00CC23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relativa alle persone anziane non autosufficienti</w:t>
            </w:r>
          </w:p>
          <w:p w14:paraId="6704FEC1" w14:textId="22173DE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DD44FF" w14:textId="77412545" w:rsidR="00010327" w:rsidRPr="00CC23DB" w:rsidRDefault="006961DB" w:rsidP="00010327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01032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2-4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010327" w:rsidRPr="00CC23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Disposizioni nella normativa che indicano l'entrata in vigore dei decreti legislativi</w:t>
            </w:r>
          </w:p>
          <w:p w14:paraId="797151AC" w14:textId="60ACBEB4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2B09E2B0" w:rsidR="001150EA" w:rsidRPr="00B41C3F" w:rsidRDefault="0041117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3127A76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06AD4C3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71FE9DDB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  <w:r w:rsidR="001B6E5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B6E51">
              <w:t xml:space="preserve"> (</w:t>
            </w:r>
            <w:r w:rsidR="001B6E51" w:rsidRPr="001B6E51">
              <w:rPr>
                <w:rFonts w:ascii="Garamond" w:hAnsi="Garamond"/>
                <w:sz w:val="24"/>
                <w:szCs w:val="24"/>
              </w:rPr>
              <w:t>CARTELLA CONDIVISA sul server del Ministero, UDM-PNRR-RENDICONTAZIONE M</w:t>
            </w:r>
            <w:r w:rsidR="001B6E51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1B6E51" w:rsidRPr="001B6E51">
              <w:rPr>
                <w:rFonts w:ascii="Garamond" w:hAnsi="Garamond"/>
                <w:sz w:val="24"/>
                <w:szCs w:val="24"/>
              </w:rPr>
              <w:t>eT</w:t>
            </w:r>
            <w:proofErr w:type="spellEnd"/>
            <w:r w:rsidR="001B6E51">
              <w:rPr>
                <w:rFonts w:ascii="Garamond" w:hAnsi="Garamond"/>
                <w:sz w:val="24"/>
                <w:szCs w:val="24"/>
              </w:rPr>
              <w:t xml:space="preserve"> - </w:t>
            </w:r>
            <w:r w:rsidR="001B6E51" w:rsidRPr="001B6E51">
              <w:rPr>
                <w:rFonts w:ascii="Garamond" w:hAnsi="Garamond"/>
                <w:sz w:val="24"/>
                <w:szCs w:val="24"/>
              </w:rPr>
              <w:t>Q1 2024</w:t>
            </w:r>
            <w:r w:rsidR="001B6E51">
              <w:rPr>
                <w:rFonts w:ascii="Garamond" w:hAnsi="Garamond"/>
                <w:sz w:val="24"/>
                <w:szCs w:val="24"/>
              </w:rPr>
              <w:t>)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B24B83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65"/>
        <w:gridCol w:w="560"/>
        <w:gridCol w:w="817"/>
        <w:gridCol w:w="957"/>
        <w:gridCol w:w="1411"/>
        <w:gridCol w:w="101"/>
        <w:gridCol w:w="101"/>
        <w:gridCol w:w="1387"/>
        <w:gridCol w:w="2386"/>
        <w:gridCol w:w="364"/>
        <w:gridCol w:w="959"/>
        <w:gridCol w:w="742"/>
        <w:gridCol w:w="160"/>
      </w:tblGrid>
      <w:tr w:rsidR="00001E8D" w:rsidRPr="0092079C" w14:paraId="223AD5CC" w14:textId="77777777" w:rsidTr="00266AEB">
        <w:trPr>
          <w:gridAfter w:val="1"/>
          <w:wAfter w:w="160" w:type="dxa"/>
          <w:trHeight w:val="503"/>
        </w:trPr>
        <w:tc>
          <w:tcPr>
            <w:tcW w:w="14312" w:type="dxa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266AEB">
        <w:trPr>
          <w:trHeight w:val="370"/>
        </w:trPr>
        <w:tc>
          <w:tcPr>
            <w:tcW w:w="14312" w:type="dxa"/>
            <w:gridSpan w:val="1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AD7242">
        <w:trPr>
          <w:trHeight w:val="9488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DBF63" w14:textId="77777777" w:rsid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7BFF47B7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B6F3164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43C6912F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33BC9955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55322E0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ReGiS delle Attestazioni dei controlli svolti su procedure e spese e del collegamento alla banca dati ORBIS nonché alle piattaforme antifrode ARACHNE e PIAF-IT;</w:t>
            </w:r>
          </w:p>
          <w:p w14:paraId="416DD2C7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19 del giorno 27 aprile 2023, recante “l’utilizzo del sistema ReGiS per gli adempimenti PNRR e modalità di attivazione delle anticipazioni di cassa a valere sulle contabilità di tesoreria NGEU”;</w:t>
            </w:r>
          </w:p>
          <w:p w14:paraId="2D3BE93F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6E6FDE44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54AEC260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4F63B776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3F821ADC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7D4D4076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 Gennaio 2024</w:t>
            </w:r>
          </w:p>
          <w:p w14:paraId="17AEE734" w14:textId="77777777" w:rsidR="00A33A76" w:rsidRPr="00A33A76" w:rsidRDefault="00A33A76" w:rsidP="00A33A7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33A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 Gennaio 2024</w:t>
            </w:r>
          </w:p>
          <w:p w14:paraId="38F5CB50" w14:textId="17B21C6D" w:rsidR="00A33A76" w:rsidRPr="00001E8D" w:rsidRDefault="00A33A76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E1C0A" w:rsidRPr="00B03310" w14:paraId="0E04E75D" w14:textId="77777777" w:rsidTr="00266AEB">
        <w:trPr>
          <w:trHeight w:val="567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6E1C0A" w:rsidRPr="0041117F" w:rsidRDefault="0041117F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  <w:tc>
          <w:tcPr>
            <w:tcW w:w="160" w:type="dxa"/>
            <w:vAlign w:val="center"/>
          </w:tcPr>
          <w:p w14:paraId="276FFB35" w14:textId="77777777" w:rsidR="006E1C0A" w:rsidRPr="00B03310" w:rsidRDefault="006E1C0A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1"/>
      <w:tr w:rsidR="00266AEB" w:rsidRPr="00B03310" w14:paraId="7CCE5FF7" w14:textId="77777777" w:rsidTr="00472322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FD28E2" w:rsidRDefault="00FD28E2" w:rsidP="00FD28E2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0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472322">
        <w:trPr>
          <w:trHeight w:val="38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2D0EA7F2" w:rsidR="00001E8D" w:rsidRPr="00B03310" w:rsidRDefault="0007516F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adottati tutti gli 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necessari al soddisfacente conseguimento della </w:t>
            </w:r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511F3AA4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CAC6" w14:textId="77777777" w:rsidR="00A55C57" w:rsidRPr="00A55C57" w:rsidRDefault="00A55C57" w:rsidP="00D0118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450F7EB4" w14:textId="1A8E4EDA" w:rsidR="00D01185" w:rsidRPr="00970A59" w:rsidRDefault="00D01185" w:rsidP="00D0118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0625D579" w14:textId="65EC4214" w:rsidR="001969E1" w:rsidRPr="001969E1" w:rsidRDefault="001969E1" w:rsidP="00D0118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3A136" w14:textId="77777777" w:rsidR="00001E8D" w:rsidRDefault="00A61774" w:rsidP="00AD724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Ai fini del soddisfacente conseguimento della </w:t>
            </w:r>
            <w:r w:rsidRPr="007B3657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milestone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:</w:t>
            </w:r>
          </w:p>
          <w:p w14:paraId="3D7C46E5" w14:textId="657E69CF" w:rsidR="00A61774" w:rsidRPr="007B3657" w:rsidRDefault="00A61774" w:rsidP="00AD724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- È stat</w:t>
            </w:r>
            <w:r w:rsid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o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pubblicat</w:t>
            </w:r>
            <w:r w:rsid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o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sulla Gazzetta Ufficiale n. 65 del 18 marzo </w:t>
            </w:r>
            <w:r w:rsid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024 </w:t>
            </w:r>
            <w:r w:rsidR="00DD4EBC" w:rsidRPr="00DD4EB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</w:t>
            </w:r>
            <w:r w:rsidR="00227D9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DD4EBC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D.lgs. n.29 recante "Disposizioni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DD4EBC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in </w:t>
            </w:r>
            <w:r w:rsidR="00B127B1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 </w:t>
            </w:r>
            <w:r w:rsidR="00DD4EBC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materia di politiche in  favore delle persone  anziane,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DD4EBC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in  attuazione della </w:t>
            </w:r>
            <w:r w:rsid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="00DD4EBC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egge  delega di cui agli artt. 3, 4 e 5 della legge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DD4EBC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23/03/2023, n.33".</w:t>
            </w:r>
          </w:p>
          <w:p w14:paraId="747B3A67" w14:textId="0E4AC18D" w:rsidR="00A61774" w:rsidRPr="001969E1" w:rsidRDefault="00A61774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5137" w14:textId="77777777" w:rsidR="00D01185" w:rsidRPr="00293570" w:rsidRDefault="00D01185" w:rsidP="00D01185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54F9DAB" w14:textId="77777777" w:rsidR="00D01185" w:rsidRDefault="00D01185" w:rsidP="00D0118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67C6B25" w14:textId="39AA4CC3" w:rsidR="00001E8D" w:rsidRPr="00D01185" w:rsidRDefault="00D01185" w:rsidP="00D0118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0118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D0118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</w:tc>
        <w:tc>
          <w:tcPr>
            <w:tcW w:w="160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5490A63E" w14:textId="77777777" w:rsidTr="00472322">
        <w:trPr>
          <w:trHeight w:val="20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3117F5B5" w:rsidR="00BF5E3D" w:rsidRPr="00B03310" w:rsidRDefault="00023AE9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1E21F219" w:rsidR="00BF5E3D" w:rsidRPr="00B03310" w:rsidRDefault="00A124D1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propedeutic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della milestone 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tempistiche previste dall’</w:t>
            </w:r>
            <w:proofErr w:type="spellStart"/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36197C75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7A1A5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5C30DA9B" w14:textId="77777777" w:rsidR="00A55C57" w:rsidRPr="00970A59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E4C3FD8" w14:textId="1B5430FA" w:rsidR="00622070" w:rsidRPr="00E64F5A" w:rsidRDefault="00622070" w:rsidP="00A55C57">
            <w:pPr>
              <w:pStyle w:val="Paragrafoelenc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39F9A896" w:rsidR="00BF5E3D" w:rsidRPr="00B03310" w:rsidRDefault="00D01185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La Milestone in esame è stata conseguita in data </w:t>
            </w:r>
            <w:r w:rsidR="005C29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18 marzo 2024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, </w:t>
            </w:r>
            <w:r w:rsidR="000B3AD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 quanto</w:t>
            </w:r>
            <w:r w:rsidR="00AD7242" w:rsidRPr="00DD4EB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il</w:t>
            </w:r>
            <w:r w:rsidR="00AD724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D.lgs. n.29/24</w:t>
            </w:r>
            <w:r w:rsidR="000B3AD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D724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è stato 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pubblicat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o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sulla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Gazzetta Ufficiale n. 65 del 18 marzo 2024, 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rispettando la</w:t>
            </w:r>
            <w:r w:rsidR="00AD724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scadenza prevista dall’</w:t>
            </w:r>
            <w:proofErr w:type="spellStart"/>
            <w:r w:rsidRPr="007B3657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al T1 202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63C29" w14:textId="77777777" w:rsidR="00D01185" w:rsidRPr="00293570" w:rsidRDefault="00D01185" w:rsidP="00D01185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A61D92F" w14:textId="77777777" w:rsidR="00D01185" w:rsidRDefault="00D01185" w:rsidP="00D0118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5000556" w14:textId="2F390AD8" w:rsidR="00BF5E3D" w:rsidRPr="00D01185" w:rsidRDefault="00D01185" w:rsidP="00D01185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0118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D0118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684E" w:rsidRPr="00B03310" w14:paraId="7B2C4326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7F39E65C" w:rsidR="004C684E" w:rsidRDefault="00023AE9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5864ECEE" w:rsidR="004C684E" w:rsidRPr="004C684E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Coerentemente con la natura degli atti propedeutici al soddisfacente conseguimento della milestone, sono stati correttamente osservati gli obblighi in tema di pubblicazione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laddove previsti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0AC8729E" w:rsidR="004C684E" w:rsidRDefault="004C684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4C684E" w:rsidRPr="00B03310" w:rsidRDefault="004C684E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77777777" w:rsidR="004C684E" w:rsidRPr="00B03310" w:rsidRDefault="004C684E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952F4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4E8C032D" w14:textId="593F57D4" w:rsidR="004C684E" w:rsidRPr="00DD4EBC" w:rsidRDefault="004C684E" w:rsidP="00A55C57">
            <w:pPr>
              <w:pStyle w:val="Paragrafoelenco"/>
              <w:jc w:val="both"/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2C537" w14:textId="1D3A671B" w:rsidR="004C684E" w:rsidRPr="00194E2D" w:rsidRDefault="0058293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Il</w:t>
            </w:r>
            <w:r w:rsidRPr="0058293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D.lgs. n.</w:t>
            </w:r>
            <w:r w:rsidR="001B6E5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29</w:t>
            </w:r>
            <w:r w:rsid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/24 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è stat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o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pubblicat</w:t>
            </w:r>
            <w:r w:rsidR="00AD724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 </w:t>
            </w:r>
            <w:r w:rsidR="000B3AD2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sulla Gazzetta Ufficiale n.  65 del 18 marzo 2024</w:t>
            </w:r>
            <w:r w:rsidR="001B6E5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A169E" w14:textId="77777777" w:rsidR="00D01185" w:rsidRPr="00E949A5" w:rsidRDefault="00D01185" w:rsidP="00D01185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9470911" w14:textId="77777777" w:rsidR="00CC23DB" w:rsidRDefault="00D01185" w:rsidP="00CC23D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8293D"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CC23DB"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CC23D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F0A5F6D" w14:textId="0F24CCAD" w:rsidR="00CC23DB" w:rsidRDefault="00CC23DB" w:rsidP="00CC23D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Gazzetta Ufficiale</w:t>
            </w:r>
          </w:p>
          <w:p w14:paraId="2434B017" w14:textId="3BC144D6" w:rsidR="0058293D" w:rsidRPr="00B03310" w:rsidRDefault="0058293D" w:rsidP="00D0118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454256B" w14:textId="77777777" w:rsidR="004C684E" w:rsidRPr="0058293D" w:rsidRDefault="004C684E" w:rsidP="005829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266AEB" w:rsidRPr="00B03310" w14:paraId="43C7C45D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9E688" w14:textId="6B474DCE" w:rsidR="00266AEB" w:rsidRDefault="00023AE9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D3A9" w14:textId="3C66AC4D" w:rsidR="00266AEB" w:rsidRPr="00266AEB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propedeutici al soddisfacente conseguimento della milestone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DD5BC" w14:textId="46E1D045" w:rsidR="00266AEB" w:rsidRDefault="00266AE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D50E1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4C1CB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36FB4" w14:textId="77777777" w:rsidR="00D01185" w:rsidRPr="003E6EF1" w:rsidRDefault="00D01185" w:rsidP="00D01185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E6E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</w:t>
            </w:r>
          </w:p>
          <w:p w14:paraId="49BB84E7" w14:textId="77777777" w:rsidR="00266AEB" w:rsidRPr="00EE594D" w:rsidRDefault="00266AEB" w:rsidP="00D0118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66B02" w14:textId="799B69D6" w:rsidR="00266AEB" w:rsidRPr="00194E2D" w:rsidRDefault="00D01185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Gli atti propedeutici al conseguimento della </w:t>
            </w:r>
            <w:r w:rsidRPr="007B3657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milestone </w:t>
            </w:r>
            <w:r w:rsidR="00E8082F" w:rsidRPr="00E8082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sono acquisiti ed archiviati presso l’archivio digitale dell’UdM-PNRR del MLPS (CARTELLA CONDIVISA sul server del Ministero, UDM-PNRR-RENDICONTAZIONE MeT.Q1 2024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62672" w14:textId="77777777" w:rsidR="00D01185" w:rsidRPr="00FD235E" w:rsidRDefault="00D01185" w:rsidP="00D01185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D2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7A40471" w14:textId="388DBF21" w:rsidR="00266AEB" w:rsidRPr="00B03310" w:rsidRDefault="00D01185" w:rsidP="00D0118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D2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•Archivio fisico/digitale dell’Unità di Missione</w:t>
            </w:r>
          </w:p>
        </w:tc>
        <w:tc>
          <w:tcPr>
            <w:tcW w:w="160" w:type="dxa"/>
            <w:vAlign w:val="center"/>
          </w:tcPr>
          <w:p w14:paraId="4A4B3F4A" w14:textId="77777777" w:rsidR="00266AEB" w:rsidRPr="00B03310" w:rsidRDefault="00266AE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EB3C9C9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0B07A" w14:textId="2980D7BD" w:rsidR="00266AEB" w:rsidRDefault="00023AE9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F2D0E" w14:textId="30453EFC" w:rsidR="00266AEB" w:rsidRPr="00266AEB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contenuto degli atti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/misure/azioni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propedeutici al soddisfacente conseguimento della milestone è adeguato e coerente rispetto a quanto richiesto nell’</w:t>
            </w:r>
            <w:proofErr w:type="spellStart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 w:rsid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 w:rsid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 w:rsid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07224" w14:textId="5FFFBBBC" w:rsidR="00266AEB" w:rsidRDefault="00266AEB" w:rsidP="00146555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792E4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AF712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F5748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272E21FE" w14:textId="77777777" w:rsidR="00266AEB" w:rsidRDefault="00DD4EBC" w:rsidP="00DD4EBC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2FDACF23" w14:textId="77777777" w:rsidR="00E407E4" w:rsidRPr="007B3657" w:rsidRDefault="00E407E4" w:rsidP="00E407E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07A51089" w14:textId="5150ABF9" w:rsidR="00E407E4" w:rsidRPr="00E407E4" w:rsidRDefault="00E407E4" w:rsidP="00E407E4">
            <w:p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80493" w14:textId="42C931DD" w:rsidR="00266AEB" w:rsidRPr="00194E2D" w:rsidRDefault="001B2B11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 coerenza con quanto richiesto nell’</w:t>
            </w:r>
            <w:proofErr w:type="spellStart"/>
            <w:r w:rsidRPr="007B3657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</w:t>
            </w:r>
            <w:r w:rsidR="00E407E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E407E4" w:rsidRPr="00E407E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e dagli </w:t>
            </w:r>
            <w:proofErr w:type="spellStart"/>
            <w:r w:rsidR="00E407E4" w:rsidRPr="00E407E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Operational</w:t>
            </w:r>
            <w:proofErr w:type="spellEnd"/>
            <w:r w:rsidR="00E407E4" w:rsidRPr="00E407E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E407E4" w:rsidRPr="00E407E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Arrangements</w:t>
            </w:r>
            <w:proofErr w:type="spellEnd"/>
            <w:r w:rsidR="007E2E3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, in applicazione della </w:t>
            </w:r>
            <w:r w:rsidR="007E2E39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Legge Delega del 23/03/2023, n.33,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94366" w:rsidRPr="00A9436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il </w:t>
            </w:r>
            <w:r w:rsidR="00A94366" w:rsidRPr="00CC23D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D.lgs. n.29/24 </w:t>
            </w:r>
            <w:r w:rsidR="00AD724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7B365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contiene gli elementi necessari al conseguimento della milestone.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E7E58" w14:textId="77777777" w:rsidR="001B2B11" w:rsidRPr="00AA4016" w:rsidRDefault="001B2B11" w:rsidP="001B2B1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621D80D" w14:textId="77777777" w:rsidR="001B2B11" w:rsidRPr="00AA4016" w:rsidRDefault="001B2B11" w:rsidP="001B2B1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3ABFC5C3" w14:textId="77777777" w:rsidR="00266AEB" w:rsidRDefault="001B2B11" w:rsidP="001B2B1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1546D12" w14:textId="321F724D" w:rsidR="00E407E4" w:rsidRPr="00B03310" w:rsidRDefault="00E407E4" w:rsidP="001B2B1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</w:p>
        </w:tc>
        <w:tc>
          <w:tcPr>
            <w:tcW w:w="160" w:type="dxa"/>
            <w:vAlign w:val="center"/>
          </w:tcPr>
          <w:p w14:paraId="0EE91413" w14:textId="77777777" w:rsidR="00266AEB" w:rsidRPr="00B03310" w:rsidRDefault="00266AE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72322" w:rsidRPr="00B03310" w14:paraId="7D232A39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8B01" w14:textId="6F2F8CF1" w:rsidR="00472322" w:rsidRDefault="00A5642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93491" w14:textId="68B7645D" w:rsidR="001B7882" w:rsidRPr="001B7882" w:rsidRDefault="001B7882" w:rsidP="001B78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rispetto </w:t>
            </w:r>
            <w:r w:rsidR="007944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quanto richiesto nell’</w:t>
            </w:r>
            <w:proofErr w:type="spellStart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state r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afforza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te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azioni a favore degli anziani non autosufficienti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22C89E4D" w14:textId="77777777" w:rsidR="00472322" w:rsidRPr="00266AEB" w:rsidRDefault="00472322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DA9E5" w14:textId="70D1FEE0" w:rsidR="00472322" w:rsidRDefault="004723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B7953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A5BC3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2E84C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4139F522" w14:textId="77777777" w:rsidR="005E3EBD" w:rsidRDefault="005E3EBD" w:rsidP="005E3EBD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77DEB79" w14:textId="77777777" w:rsidR="005E3EBD" w:rsidRPr="007B3657" w:rsidRDefault="005E3EBD" w:rsidP="005E3EB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506F3649" w14:textId="77777777" w:rsidR="00472322" w:rsidRPr="0094574B" w:rsidRDefault="00472322" w:rsidP="005E3EBD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D6A9C" w14:textId="11CCBAC1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Al fine di prevenire la istituzionalizzazione delle persone anziane, anche non autosufficienti, vengono</w:t>
            </w:r>
            <w:r w:rsidR="00AD724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introdotte norme destinate al riordino, alla semplificazione e al coordinamento delle attività di assistenza sociale, sanitaria e sociosanitaria per le persone anziane non autosufficienti.</w:t>
            </w:r>
          </w:p>
          <w:p w14:paraId="25F90708" w14:textId="77777777" w:rsidR="00472322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L’art. 21 definisce il Sistema nazionale per la popolazione anziana non autosufficiente (SNAA) costituito dall’insieme integrato dei servizi e delle prestazioni sociali di cura e di assistenza necessari a garantire un adeguato e appropriato sostegno alla popolazione anziana non autosufficiente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  <w:p w14:paraId="55825E51" w14:textId="0BC40157" w:rsidR="00B438DE" w:rsidRPr="007B3657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’art. 30 prevede che gli ATS offrano servizi socioassistenziali di tipo residenziale, 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semiresidenziale e diurno, in modo d</w:t>
            </w:r>
            <w:r w:rsidR="001B6E5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garantire la continuità delle condizioni di vita e abitudini relazionali di tipo familiare; invece, quelli semiresidenziali e diurni sono offerti presso centri di servizio accreditati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3820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Verificare:</w:t>
            </w:r>
          </w:p>
          <w:p w14:paraId="0D680F9A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6C2B309A" w14:textId="77777777" w:rsidR="005E3EBD" w:rsidRDefault="005E3EBD" w:rsidP="005E3EB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8EDC8B5" w14:textId="77777777" w:rsidR="00472322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0569346D" w14:textId="4FF483D9" w:rsidR="001B6E51" w:rsidRPr="00AA4016" w:rsidRDefault="001B6E51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00CFBC3" w14:textId="77777777" w:rsidR="00472322" w:rsidRPr="00B03310" w:rsidRDefault="0047232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72322" w:rsidRPr="00B03310" w14:paraId="460C9ED9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2C85C" w14:textId="1C9C455B" w:rsidR="00472322" w:rsidRDefault="00A5642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13519" w14:textId="37EC0B54" w:rsidR="001B7882" w:rsidRPr="001B7882" w:rsidRDefault="001B7882" w:rsidP="001B78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rispetto </w:t>
            </w:r>
            <w:r w:rsidR="007944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quanto richiesto nell’</w:t>
            </w:r>
            <w:proofErr w:type="spellStart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stati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previsti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Sportelli Unici per i servizi socio-sanitari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1DED32FD" w14:textId="77777777" w:rsidR="00472322" w:rsidRPr="00266AEB" w:rsidRDefault="00472322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9C4EA" w14:textId="432BC093" w:rsidR="00472322" w:rsidRDefault="004723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416E7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F8A36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6672E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1C7E109C" w14:textId="77777777" w:rsidR="005E3EBD" w:rsidRDefault="005E3EBD" w:rsidP="005E3EBD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2B4FFEAC" w14:textId="77777777" w:rsidR="005E3EBD" w:rsidRPr="007B3657" w:rsidRDefault="005E3EBD" w:rsidP="005E3EB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76A621D7" w14:textId="77777777" w:rsidR="00472322" w:rsidRPr="0094574B" w:rsidRDefault="00472322" w:rsidP="005E3EBD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D2858" w14:textId="6C06C9BF" w:rsidR="00472322" w:rsidRPr="007B3657" w:rsidRDefault="00B438DE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ll’art. 10 viene fissato il principio secondo cui nell’ambito dei Punti Unici di Accesso (PUA) di cui all’art. 1, c. 163, l. n. 234/2021 sono assicurati alle persone anziane, l’erogazione dell’orientamento e del sostegno informativo per favorire la piena attuazione agli interventi e ai servizi socioassistenziali e sociosanitari.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2F811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A39505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0198A993" w14:textId="77777777" w:rsidR="005E3EBD" w:rsidRDefault="005E3EBD" w:rsidP="005E3EB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1CB19FE6" w14:textId="58AE2E30" w:rsidR="00472322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</w:p>
        </w:tc>
        <w:tc>
          <w:tcPr>
            <w:tcW w:w="160" w:type="dxa"/>
            <w:vAlign w:val="center"/>
          </w:tcPr>
          <w:p w14:paraId="654FEB8E" w14:textId="77777777" w:rsidR="00472322" w:rsidRPr="00B03310" w:rsidRDefault="0047232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72322" w:rsidRPr="00B03310" w14:paraId="1227395E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8ADDB" w14:textId="2D0B6517" w:rsidR="00472322" w:rsidRDefault="00A5642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F6B6E" w14:textId="3C847868" w:rsidR="001B7882" w:rsidRPr="001B7882" w:rsidRDefault="001B7882" w:rsidP="001B78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rispetto </w:t>
            </w:r>
            <w:r w:rsidR="007944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quanto richiesto nell’</w:t>
            </w:r>
            <w:proofErr w:type="spellStart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state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riviste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procedure di valutazione della condizione di anziano non autosufficiente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61A256EA" w14:textId="77777777" w:rsidR="00472322" w:rsidRPr="00266AEB" w:rsidRDefault="00472322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D3D3B" w14:textId="0087A225" w:rsidR="00472322" w:rsidRDefault="004723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2BB54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95683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112B3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46B72A01" w14:textId="77777777" w:rsidR="005E3EBD" w:rsidRDefault="005E3EBD" w:rsidP="005E3EBD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BD3481E" w14:textId="77777777" w:rsidR="005E3EBD" w:rsidRPr="007B3657" w:rsidRDefault="005E3EBD" w:rsidP="005E3EB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51A8C6FD" w14:textId="77777777" w:rsidR="00472322" w:rsidRPr="0094574B" w:rsidRDefault="00472322" w:rsidP="005E3EBD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B456B" w14:textId="77777777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L’art. 2 definisce i beneficiari dei servizi con specifico riferimento al concetto di “non autosufficienza” e di “bisogno assistenziale”.</w:t>
            </w:r>
          </w:p>
          <w:p w14:paraId="10030792" w14:textId="77777777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Infatti, alla lettera c) del comma 1 si identifica nella “persona anziana non autosufficiente” la persona anziana che, anche in considerazione dell’età anagrafica e delle disabilità pregresse, presenta gravi limitazioni o perdita dell’autonomia nelle attività fondamentali della vita quotidiana e del  funzionamento </w:t>
            </w:r>
            <w:proofErr w:type="spellStart"/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bio</w:t>
            </w:r>
            <w:proofErr w:type="spellEnd"/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-psico-sociale, valutate sulla base di metodologie standardizzate, anche considerando le specifiche condizioni sociali, familiari e ambientali, in coerenza con quanto previsto dal 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regolamento recante la definizione di modelli e standard per lo sviluppo dell’assistenza territoriale nel Servizio sanitario nazionale (SSN).</w:t>
            </w:r>
          </w:p>
          <w:p w14:paraId="5F461C84" w14:textId="77777777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Invece, alla lettera d)  vi è l’individuazione dello “specifico bisogno assistenziale dell’anziano non autosufficiente”, il quale viene valutato e graduato, all’esito della valutazione multidimensionale unificata di cui all’art. 10.</w:t>
            </w:r>
          </w:p>
          <w:p w14:paraId="52E6CB39" w14:textId="77777777" w:rsidR="00472322" w:rsidRPr="007B3657" w:rsidRDefault="00472322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ED3B6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Verificare:</w:t>
            </w:r>
          </w:p>
          <w:p w14:paraId="787CBE1D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649645EF" w14:textId="77777777" w:rsidR="005E3EBD" w:rsidRDefault="005E3EBD" w:rsidP="005E3EB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B0F3873" w14:textId="7405D523" w:rsidR="00472322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</w:p>
        </w:tc>
        <w:tc>
          <w:tcPr>
            <w:tcW w:w="160" w:type="dxa"/>
            <w:vAlign w:val="center"/>
          </w:tcPr>
          <w:p w14:paraId="11F57F74" w14:textId="77777777" w:rsidR="00472322" w:rsidRPr="00B03310" w:rsidRDefault="0047232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72322" w:rsidRPr="00B03310" w14:paraId="7525632B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8AB5A" w14:textId="7B10B842" w:rsidR="00472322" w:rsidRDefault="00A5642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9DD56" w14:textId="53755C93" w:rsidR="001B7882" w:rsidRPr="001B7882" w:rsidRDefault="001B7882" w:rsidP="001B78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rispetto </w:t>
            </w:r>
            <w:r w:rsidR="007944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quanto richiesto nell’</w:t>
            </w:r>
            <w:proofErr w:type="spellStart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è stata ampliata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l'offerta di servizi socio-sanitari erogabili a domicilio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7C3293A7" w14:textId="77777777" w:rsidR="00472322" w:rsidRPr="00266AEB" w:rsidRDefault="00472322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6687" w14:textId="6E6417A4" w:rsidR="00472322" w:rsidRDefault="004723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5226F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6CA8D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71F56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771A9923" w14:textId="77777777" w:rsidR="005E3EBD" w:rsidRDefault="005E3EBD" w:rsidP="005E3EBD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5271C694" w14:textId="77777777" w:rsidR="005E3EBD" w:rsidRPr="007B3657" w:rsidRDefault="005E3EBD" w:rsidP="005E3EB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7A954EF9" w14:textId="77777777" w:rsidR="00472322" w:rsidRPr="0094574B" w:rsidRDefault="00472322" w:rsidP="005E3EBD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BBD5F" w14:textId="269FC17C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L’art. 29 definisce quali siano gli strumenti utili alla promozione della deistituzionalizzazione degli anziani non autosufficienti. In tale contesto gli ATS, le aziende sanitarie e i distretti sanitari, nell’ambito delle rispettive competenze, provvedono a 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garantire l’attivazione degli interventi definiti dal Progetto di Assistenza Individuale integrato (PAI).</w:t>
            </w:r>
          </w:p>
          <w:p w14:paraId="6DECBEF9" w14:textId="0C66D7C2" w:rsidR="00B438DE" w:rsidRPr="00B438DE" w:rsidRDefault="001B6E51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 g</w:t>
            </w:r>
            <w:r w:rsidR="00B438DE"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li artt. 30 e 31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</w:t>
            </w:r>
            <w:r w:rsidR="00B438DE"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istituzionalizzano i servizi di assistenza presso istituti residenziali, semi residenziali diurni socioassistenziali e sociosanitari, volti a favorire un intervento medico-assistenziale </w:t>
            </w:r>
            <w:proofErr w:type="spellStart"/>
            <w:r w:rsidR="00B438DE"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deistituzionalizzato</w:t>
            </w:r>
            <w:proofErr w:type="spellEnd"/>
            <w:r w:rsidR="00B438DE"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</w:p>
          <w:p w14:paraId="4D0398CC" w14:textId="77777777" w:rsidR="00472322" w:rsidRPr="007B3657" w:rsidRDefault="00472322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E8E76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Verificare:</w:t>
            </w:r>
          </w:p>
          <w:p w14:paraId="753C0A53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1B64FA9B" w14:textId="77777777" w:rsidR="005E3EBD" w:rsidRDefault="005E3EBD" w:rsidP="005E3EB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1E09AB25" w14:textId="0BEEC7E1" w:rsidR="00472322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</w:p>
        </w:tc>
        <w:tc>
          <w:tcPr>
            <w:tcW w:w="160" w:type="dxa"/>
            <w:vAlign w:val="center"/>
          </w:tcPr>
          <w:p w14:paraId="73F76688" w14:textId="77777777" w:rsidR="00472322" w:rsidRPr="00B03310" w:rsidRDefault="0047232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72322" w:rsidRPr="00B03310" w14:paraId="09B769D3" w14:textId="77777777" w:rsidTr="00472322">
        <w:trPr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263FB" w14:textId="039C7399" w:rsidR="00472322" w:rsidRDefault="00A5642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840A3" w14:textId="42F00FCF" w:rsidR="001B7882" w:rsidRPr="001B7882" w:rsidRDefault="001B7882" w:rsidP="001B78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rispetto </w:t>
            </w:r>
            <w:r w:rsidR="007944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quanto richiesto nell’</w:t>
            </w:r>
            <w:proofErr w:type="spellStart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state i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ndividua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1B78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le risorse finanziarie necessarie all’attuazione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2F2273DF" w14:textId="77777777" w:rsidR="00472322" w:rsidRPr="00266AEB" w:rsidRDefault="00472322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3FAC4" w14:textId="10EBE33F" w:rsidR="00472322" w:rsidRDefault="004723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8195B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17DF7" w14:textId="77777777" w:rsidR="00472322" w:rsidRPr="00B03310" w:rsidRDefault="004723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A1CED" w14:textId="77777777" w:rsidR="00A55C57" w:rsidRPr="00A55C57" w:rsidRDefault="00A55C57" w:rsidP="00A55C5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55C57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ALLEGATO 1_D.Lgs 29_2024.pdf</w:t>
            </w:r>
            <w:r w:rsidRPr="00A55C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  <w:p w14:paraId="210AAEB8" w14:textId="77777777" w:rsidR="005E3EBD" w:rsidRDefault="005E3EBD" w:rsidP="005E3EBD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 w:rsidRPr="003E6EF1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9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1DD9CFD" w14:textId="77777777" w:rsidR="005E3EBD" w:rsidRPr="007B3657" w:rsidRDefault="005E3EBD" w:rsidP="005E3EB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42FA58A1" w14:textId="77777777" w:rsidR="00472322" w:rsidRPr="0094574B" w:rsidRDefault="00472322" w:rsidP="005E3EBD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0C031" w14:textId="77777777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L’art. 34 prevede la creazione, in via sperimentale per gli anni 2025 e 2026, dell’istituto della 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prestazione universale </w:t>
            </w: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volto a promuovere il progressivo potenziamento delle prestazioni assistenziali per il sostegno della domiciliarità e dell’autonomia personale delle persone anziane non autosufficienti </w:t>
            </w:r>
          </w:p>
          <w:p w14:paraId="5B95AB0B" w14:textId="77777777" w:rsidR="00B438DE" w:rsidRPr="00B438DE" w:rsidRDefault="00B438DE" w:rsidP="00B43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3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In relazione alla copertura economica-finanziaria per l’attuazione della sperimentazione prevista per la prestazione universale, l’art. 42 dispone di provvedersi di 250 milioni per l’anno 2025 e della medesima somma per il 2026, a valere sulle disponibilità del Fondo per le non autosufficienze, su quelle del Programma Nazionale “Inclusione e lotta alla povertà”2021-2027 e della Missione 5 del PNRR, di competenza del MLPS.</w:t>
            </w:r>
          </w:p>
          <w:p w14:paraId="1926E18C" w14:textId="77777777" w:rsidR="00472322" w:rsidRPr="007B3657" w:rsidRDefault="00472322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6C5B9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Verificare:</w:t>
            </w:r>
          </w:p>
          <w:p w14:paraId="018C32E3" w14:textId="77777777" w:rsidR="005E3EBD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7A88D86C" w14:textId="77777777" w:rsidR="005E3EBD" w:rsidRDefault="005E3EBD" w:rsidP="005E3EB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365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03A76F29" w14:textId="6EE39CA5" w:rsidR="00472322" w:rsidRPr="00AA4016" w:rsidRDefault="005E3EBD" w:rsidP="005E3E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</w:t>
            </w:r>
            <w:proofErr w:type="spellEnd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407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Arrangements</w:t>
            </w:r>
            <w:proofErr w:type="spellEnd"/>
          </w:p>
        </w:tc>
        <w:tc>
          <w:tcPr>
            <w:tcW w:w="160" w:type="dxa"/>
            <w:vAlign w:val="center"/>
          </w:tcPr>
          <w:p w14:paraId="49602D51" w14:textId="77777777" w:rsidR="00472322" w:rsidRPr="00B03310" w:rsidRDefault="0047232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266AEB">
        <w:trPr>
          <w:gridAfter w:val="1"/>
          <w:wAfter w:w="160" w:type="dxa"/>
          <w:trHeight w:val="693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A40C4F" w:rsidRPr="00B03310" w14:paraId="701F2C59" w14:textId="77777777" w:rsidTr="00266AEB">
        <w:trPr>
          <w:gridAfter w:val="1"/>
          <w:wAfter w:w="160" w:type="dxa"/>
          <w:trHeight w:val="403"/>
        </w:trPr>
        <w:tc>
          <w:tcPr>
            <w:tcW w:w="837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44799FDC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A40C4F" w:rsidRPr="00B03310" w14:paraId="78E06787" w14:textId="77777777" w:rsidTr="00266AEB">
        <w:trPr>
          <w:gridAfter w:val="1"/>
          <w:wAfter w:w="160" w:type="dxa"/>
          <w:trHeight w:val="403"/>
        </w:trPr>
        <w:tc>
          <w:tcPr>
            <w:tcW w:w="83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A40C4F" w:rsidRPr="00B03310" w14:paraId="46782F1C" w14:textId="77777777" w:rsidTr="00266AEB">
        <w:trPr>
          <w:gridAfter w:val="1"/>
          <w:wAfter w:w="160" w:type="dxa"/>
          <w:trHeight w:val="370"/>
        </w:trPr>
        <w:tc>
          <w:tcPr>
            <w:tcW w:w="126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266AEB">
        <w:trPr>
          <w:gridAfter w:val="1"/>
          <w:wAfter w:w="160" w:type="dxa"/>
          <w:trHeight w:val="370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266AEB">
        <w:trPr>
          <w:gridAfter w:val="1"/>
          <w:wAfter w:w="160" w:type="dxa"/>
          <w:trHeight w:val="2360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266AEB" w:rsidRPr="00B03310" w14:paraId="0A2563BA" w14:textId="77777777" w:rsidTr="00472322">
        <w:trPr>
          <w:gridAfter w:val="1"/>
          <w:wAfter w:w="160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266AEB">
        <w:trPr>
          <w:gridAfter w:val="1"/>
          <w:wAfter w:w="160" w:type="dxa"/>
          <w:trHeight w:val="373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94773E" w:rsidRPr="00B03310" w14:paraId="0B300EB0" w14:textId="77777777" w:rsidTr="00266AEB">
        <w:trPr>
          <w:gridAfter w:val="1"/>
          <w:wAfter w:w="160" w:type="dxa"/>
          <w:trHeight w:val="2597"/>
        </w:trPr>
        <w:tc>
          <w:tcPr>
            <w:tcW w:w="143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266AEB" w:rsidRPr="00B03310" w14:paraId="478DCF24" w14:textId="77777777" w:rsidTr="00472322">
        <w:trPr>
          <w:gridAfter w:val="1"/>
          <w:wAfter w:w="160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5EA6EEC0" w14:textId="77777777" w:rsidTr="00472322">
        <w:trPr>
          <w:gridAfter w:val="1"/>
          <w:wAfter w:w="160" w:type="dxa"/>
          <w:trHeight w:val="370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760D6BB6" w14:textId="77777777" w:rsidTr="00266AEB">
        <w:trPr>
          <w:gridAfter w:val="1"/>
          <w:wAfter w:w="160" w:type="dxa"/>
          <w:trHeight w:val="1250"/>
        </w:trPr>
        <w:tc>
          <w:tcPr>
            <w:tcW w:w="5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 w:rsidR="005E257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08F688B3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1C89565B" w14:textId="77777777" w:rsidTr="00266AEB">
        <w:trPr>
          <w:gridAfter w:val="1"/>
          <w:wAfter w:w="160" w:type="dxa"/>
          <w:trHeight w:val="1250"/>
        </w:trPr>
        <w:tc>
          <w:tcPr>
            <w:tcW w:w="5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Controllore (Funzionario) * 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54F10AC3" w:rsidR="0094773E" w:rsidRPr="00B03310" w:rsidRDefault="0094773E" w:rsidP="00A40C4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74E70355" w:rsidR="006C3D9A" w:rsidRPr="00B03310" w:rsidRDefault="0094773E" w:rsidP="006C3D9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6C3D9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039BD933" w14:textId="77777777" w:rsidTr="00266AEB">
        <w:trPr>
          <w:gridAfter w:val="1"/>
          <w:wAfter w:w="160" w:type="dxa"/>
          <w:trHeight w:val="1250"/>
        </w:trPr>
        <w:tc>
          <w:tcPr>
            <w:tcW w:w="5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3E36C47D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5D77B895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65DD03B3" w14:textId="77777777" w:rsidTr="00472322">
        <w:trPr>
          <w:gridAfter w:val="1"/>
          <w:wAfter w:w="160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02CE3" w14:textId="77777777" w:rsidR="00FA795B" w:rsidRDefault="00FA795B" w:rsidP="00482081">
      <w:pPr>
        <w:spacing w:after="0" w:line="240" w:lineRule="auto"/>
      </w:pPr>
      <w:r>
        <w:separator/>
      </w:r>
    </w:p>
  </w:endnote>
  <w:endnote w:type="continuationSeparator" w:id="0">
    <w:p w14:paraId="53B5D75A" w14:textId="77777777" w:rsidR="00FA795B" w:rsidRDefault="00FA795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02F6" w14:textId="77777777" w:rsidR="00FA795B" w:rsidRDefault="00FA795B" w:rsidP="00482081">
      <w:pPr>
        <w:spacing w:after="0" w:line="240" w:lineRule="auto"/>
      </w:pPr>
      <w:r>
        <w:separator/>
      </w:r>
    </w:p>
  </w:footnote>
  <w:footnote w:type="continuationSeparator" w:id="0">
    <w:p w14:paraId="2BD8359F" w14:textId="77777777" w:rsidR="00FA795B" w:rsidRDefault="00FA795B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D5F71"/>
    <w:multiLevelType w:val="hybridMultilevel"/>
    <w:tmpl w:val="9AF2D396"/>
    <w:lvl w:ilvl="0" w:tplc="DC6486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82B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D8F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8AF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C24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CE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8E7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589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367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5F42B7"/>
    <w:multiLevelType w:val="hybridMultilevel"/>
    <w:tmpl w:val="3E34DEF2"/>
    <w:lvl w:ilvl="0" w:tplc="9124C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4E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0C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189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C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29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65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2A3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A23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C0694F"/>
    <w:multiLevelType w:val="hybridMultilevel"/>
    <w:tmpl w:val="87B6DF52"/>
    <w:lvl w:ilvl="0" w:tplc="CAD86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D8C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8D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4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F22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6C1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58C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0F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3C4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B25EA7"/>
    <w:multiLevelType w:val="hybridMultilevel"/>
    <w:tmpl w:val="DD3CD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8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E3707"/>
    <w:multiLevelType w:val="hybridMultilevel"/>
    <w:tmpl w:val="7390F51C"/>
    <w:lvl w:ilvl="0" w:tplc="EE84C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C0F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D65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24F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AA7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A6E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4E4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B69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2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619C7"/>
    <w:multiLevelType w:val="hybridMultilevel"/>
    <w:tmpl w:val="4B8C9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2557238"/>
    <w:multiLevelType w:val="hybridMultilevel"/>
    <w:tmpl w:val="5DC006B2"/>
    <w:lvl w:ilvl="0" w:tplc="5238AD78">
      <w:numFmt w:val="bullet"/>
      <w:lvlText w:val="-"/>
      <w:lvlJc w:val="left"/>
      <w:pPr>
        <w:ind w:left="294" w:hanging="282"/>
      </w:pPr>
      <w:rPr>
        <w:rFonts w:ascii="Times New Roman" w:eastAsia="Times New Roman" w:hAnsi="Times New Roman" w:cs="Times New Roman" w:hint="default"/>
        <w:spacing w:val="-24"/>
        <w:w w:val="100"/>
        <w:sz w:val="20"/>
        <w:szCs w:val="20"/>
      </w:rPr>
    </w:lvl>
    <w:lvl w:ilvl="1" w:tplc="40E28EF0">
      <w:numFmt w:val="bullet"/>
      <w:lvlText w:val="•"/>
      <w:lvlJc w:val="left"/>
      <w:pPr>
        <w:ind w:left="1156" w:hanging="282"/>
      </w:pPr>
      <w:rPr>
        <w:rFonts w:hint="default"/>
      </w:rPr>
    </w:lvl>
    <w:lvl w:ilvl="2" w:tplc="F626B40E">
      <w:numFmt w:val="bullet"/>
      <w:lvlText w:val="•"/>
      <w:lvlJc w:val="left"/>
      <w:pPr>
        <w:ind w:left="2012" w:hanging="282"/>
      </w:pPr>
      <w:rPr>
        <w:rFonts w:hint="default"/>
      </w:rPr>
    </w:lvl>
    <w:lvl w:ilvl="3" w:tplc="2898CB70">
      <w:numFmt w:val="bullet"/>
      <w:lvlText w:val="•"/>
      <w:lvlJc w:val="left"/>
      <w:pPr>
        <w:ind w:left="2868" w:hanging="282"/>
      </w:pPr>
      <w:rPr>
        <w:rFonts w:hint="default"/>
      </w:rPr>
    </w:lvl>
    <w:lvl w:ilvl="4" w:tplc="0CA46B30">
      <w:numFmt w:val="bullet"/>
      <w:lvlText w:val="•"/>
      <w:lvlJc w:val="left"/>
      <w:pPr>
        <w:ind w:left="3724" w:hanging="282"/>
      </w:pPr>
      <w:rPr>
        <w:rFonts w:hint="default"/>
      </w:rPr>
    </w:lvl>
    <w:lvl w:ilvl="5" w:tplc="72EA025E">
      <w:numFmt w:val="bullet"/>
      <w:lvlText w:val="•"/>
      <w:lvlJc w:val="left"/>
      <w:pPr>
        <w:ind w:left="4580" w:hanging="282"/>
      </w:pPr>
      <w:rPr>
        <w:rFonts w:hint="default"/>
      </w:rPr>
    </w:lvl>
    <w:lvl w:ilvl="6" w:tplc="49E06A56">
      <w:numFmt w:val="bullet"/>
      <w:lvlText w:val="•"/>
      <w:lvlJc w:val="left"/>
      <w:pPr>
        <w:ind w:left="5436" w:hanging="282"/>
      </w:pPr>
      <w:rPr>
        <w:rFonts w:hint="default"/>
      </w:rPr>
    </w:lvl>
    <w:lvl w:ilvl="7" w:tplc="F95C0756">
      <w:numFmt w:val="bullet"/>
      <w:lvlText w:val="•"/>
      <w:lvlJc w:val="left"/>
      <w:pPr>
        <w:ind w:left="6292" w:hanging="282"/>
      </w:pPr>
      <w:rPr>
        <w:rFonts w:hint="default"/>
      </w:rPr>
    </w:lvl>
    <w:lvl w:ilvl="8" w:tplc="B724740C">
      <w:numFmt w:val="bullet"/>
      <w:lvlText w:val="•"/>
      <w:lvlJc w:val="left"/>
      <w:pPr>
        <w:ind w:left="7148" w:hanging="282"/>
      </w:pPr>
      <w:rPr>
        <w:rFonts w:hint="default"/>
      </w:rPr>
    </w:lvl>
  </w:abstractNum>
  <w:abstractNum w:abstractNumId="45" w15:restartNumberingAfterBreak="0">
    <w:nsid w:val="74484591"/>
    <w:multiLevelType w:val="hybridMultilevel"/>
    <w:tmpl w:val="087E193E"/>
    <w:lvl w:ilvl="0" w:tplc="CAFA9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FAB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0EA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CE1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B2D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E0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345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DA9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61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7873A65"/>
    <w:multiLevelType w:val="hybridMultilevel"/>
    <w:tmpl w:val="E1644A1C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2"/>
  </w:num>
  <w:num w:numId="2" w16cid:durableId="1011299493">
    <w:abstractNumId w:val="20"/>
  </w:num>
  <w:num w:numId="3" w16cid:durableId="509177251">
    <w:abstractNumId w:val="16"/>
  </w:num>
  <w:num w:numId="4" w16cid:durableId="187305269">
    <w:abstractNumId w:val="10"/>
  </w:num>
  <w:num w:numId="5" w16cid:durableId="1917011776">
    <w:abstractNumId w:val="33"/>
  </w:num>
  <w:num w:numId="6" w16cid:durableId="519010792">
    <w:abstractNumId w:val="31"/>
  </w:num>
  <w:num w:numId="7" w16cid:durableId="686760442">
    <w:abstractNumId w:val="15"/>
  </w:num>
  <w:num w:numId="8" w16cid:durableId="659189994">
    <w:abstractNumId w:val="28"/>
  </w:num>
  <w:num w:numId="9" w16cid:durableId="63531205">
    <w:abstractNumId w:val="5"/>
  </w:num>
  <w:num w:numId="10" w16cid:durableId="2115513435">
    <w:abstractNumId w:val="37"/>
  </w:num>
  <w:num w:numId="11" w16cid:durableId="1228882479">
    <w:abstractNumId w:val="42"/>
  </w:num>
  <w:num w:numId="12" w16cid:durableId="1507793010">
    <w:abstractNumId w:val="39"/>
  </w:num>
  <w:num w:numId="13" w16cid:durableId="635918799">
    <w:abstractNumId w:val="27"/>
  </w:num>
  <w:num w:numId="14" w16cid:durableId="571932964">
    <w:abstractNumId w:val="22"/>
  </w:num>
  <w:num w:numId="15" w16cid:durableId="233514468">
    <w:abstractNumId w:val="4"/>
  </w:num>
  <w:num w:numId="16" w16cid:durableId="1113940811">
    <w:abstractNumId w:val="35"/>
  </w:num>
  <w:num w:numId="17" w16cid:durableId="329022998">
    <w:abstractNumId w:val="0"/>
  </w:num>
  <w:num w:numId="18" w16cid:durableId="604849691">
    <w:abstractNumId w:val="17"/>
  </w:num>
  <w:num w:numId="19" w16cid:durableId="1269505364">
    <w:abstractNumId w:val="38"/>
  </w:num>
  <w:num w:numId="20" w16cid:durableId="1639725741">
    <w:abstractNumId w:val="26"/>
  </w:num>
  <w:num w:numId="21" w16cid:durableId="760488988">
    <w:abstractNumId w:val="40"/>
  </w:num>
  <w:num w:numId="22" w16cid:durableId="489715771">
    <w:abstractNumId w:val="18"/>
  </w:num>
  <w:num w:numId="23" w16cid:durableId="1655061331">
    <w:abstractNumId w:val="21"/>
  </w:num>
  <w:num w:numId="24" w16cid:durableId="190579509">
    <w:abstractNumId w:val="47"/>
  </w:num>
  <w:num w:numId="25" w16cid:durableId="49039191">
    <w:abstractNumId w:val="30"/>
  </w:num>
  <w:num w:numId="26" w16cid:durableId="1554385121">
    <w:abstractNumId w:val="11"/>
  </w:num>
  <w:num w:numId="27" w16cid:durableId="752967811">
    <w:abstractNumId w:val="3"/>
  </w:num>
  <w:num w:numId="28" w16cid:durableId="1451508525">
    <w:abstractNumId w:val="36"/>
  </w:num>
  <w:num w:numId="29" w16cid:durableId="345598631">
    <w:abstractNumId w:val="41"/>
  </w:num>
  <w:num w:numId="30" w16cid:durableId="1417899689">
    <w:abstractNumId w:val="14"/>
  </w:num>
  <w:num w:numId="31" w16cid:durableId="1319384469">
    <w:abstractNumId w:val="13"/>
  </w:num>
  <w:num w:numId="32" w16cid:durableId="641497636">
    <w:abstractNumId w:val="7"/>
  </w:num>
  <w:num w:numId="33" w16cid:durableId="1991252646">
    <w:abstractNumId w:val="9"/>
  </w:num>
  <w:num w:numId="34" w16cid:durableId="244802038">
    <w:abstractNumId w:val="43"/>
  </w:num>
  <w:num w:numId="35" w16cid:durableId="1730496607">
    <w:abstractNumId w:val="24"/>
  </w:num>
  <w:num w:numId="36" w16cid:durableId="1970629992">
    <w:abstractNumId w:val="6"/>
  </w:num>
  <w:num w:numId="37" w16cid:durableId="1937907233">
    <w:abstractNumId w:val="32"/>
  </w:num>
  <w:num w:numId="38" w16cid:durableId="148524882">
    <w:abstractNumId w:val="19"/>
  </w:num>
  <w:num w:numId="39" w16cid:durableId="1920019964">
    <w:abstractNumId w:val="25"/>
  </w:num>
  <w:num w:numId="40" w16cid:durableId="711734064">
    <w:abstractNumId w:val="34"/>
  </w:num>
  <w:num w:numId="41" w16cid:durableId="356083350">
    <w:abstractNumId w:val="44"/>
  </w:num>
  <w:num w:numId="42" w16cid:durableId="1217666898">
    <w:abstractNumId w:val="23"/>
  </w:num>
  <w:num w:numId="43" w16cid:durableId="1546484246">
    <w:abstractNumId w:val="46"/>
  </w:num>
  <w:num w:numId="44" w16cid:durableId="954600421">
    <w:abstractNumId w:val="29"/>
  </w:num>
  <w:num w:numId="45" w16cid:durableId="1390373683">
    <w:abstractNumId w:val="1"/>
  </w:num>
  <w:num w:numId="46" w16cid:durableId="1311247628">
    <w:abstractNumId w:val="8"/>
  </w:num>
  <w:num w:numId="47" w16cid:durableId="470907413">
    <w:abstractNumId w:val="45"/>
  </w:num>
  <w:num w:numId="48" w16cid:durableId="843672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0327"/>
    <w:rsid w:val="0001569C"/>
    <w:rsid w:val="00023801"/>
    <w:rsid w:val="00023AE9"/>
    <w:rsid w:val="0002593F"/>
    <w:rsid w:val="000265F3"/>
    <w:rsid w:val="00030842"/>
    <w:rsid w:val="00030E66"/>
    <w:rsid w:val="00033A35"/>
    <w:rsid w:val="00033A62"/>
    <w:rsid w:val="00037FC5"/>
    <w:rsid w:val="0004001D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16F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3AD2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46555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2B11"/>
    <w:rsid w:val="001B3A6E"/>
    <w:rsid w:val="001B4B79"/>
    <w:rsid w:val="001B594A"/>
    <w:rsid w:val="001B5AD0"/>
    <w:rsid w:val="001B6E51"/>
    <w:rsid w:val="001B76F6"/>
    <w:rsid w:val="001B7882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7D9E"/>
    <w:rsid w:val="002343D5"/>
    <w:rsid w:val="00236E84"/>
    <w:rsid w:val="002419E8"/>
    <w:rsid w:val="00241A9A"/>
    <w:rsid w:val="00253E6A"/>
    <w:rsid w:val="00260C69"/>
    <w:rsid w:val="00261237"/>
    <w:rsid w:val="00266AEB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2F2F"/>
    <w:rsid w:val="00373883"/>
    <w:rsid w:val="00373AB0"/>
    <w:rsid w:val="0038126C"/>
    <w:rsid w:val="00386CE4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261B9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54D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2322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5E4A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293D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2988"/>
    <w:rsid w:val="005C3A4E"/>
    <w:rsid w:val="005D6A68"/>
    <w:rsid w:val="005E2570"/>
    <w:rsid w:val="005E3EBD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322"/>
    <w:rsid w:val="006979D5"/>
    <w:rsid w:val="00697D5E"/>
    <w:rsid w:val="006A67C8"/>
    <w:rsid w:val="006B4144"/>
    <w:rsid w:val="006B6527"/>
    <w:rsid w:val="006B7B2B"/>
    <w:rsid w:val="006C3BE7"/>
    <w:rsid w:val="006C3D9A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6C0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4406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2E39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0B9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33A76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5C57"/>
    <w:rsid w:val="00A56420"/>
    <w:rsid w:val="00A57152"/>
    <w:rsid w:val="00A60A72"/>
    <w:rsid w:val="00A61774"/>
    <w:rsid w:val="00A71EA1"/>
    <w:rsid w:val="00A7648E"/>
    <w:rsid w:val="00A83758"/>
    <w:rsid w:val="00A859CD"/>
    <w:rsid w:val="00A86453"/>
    <w:rsid w:val="00A94366"/>
    <w:rsid w:val="00A94A56"/>
    <w:rsid w:val="00AA01BB"/>
    <w:rsid w:val="00AA1259"/>
    <w:rsid w:val="00AA40D2"/>
    <w:rsid w:val="00AA7819"/>
    <w:rsid w:val="00AA7B23"/>
    <w:rsid w:val="00AB2444"/>
    <w:rsid w:val="00AC4D76"/>
    <w:rsid w:val="00AC65DB"/>
    <w:rsid w:val="00AD1649"/>
    <w:rsid w:val="00AD2EDE"/>
    <w:rsid w:val="00AD7242"/>
    <w:rsid w:val="00AE1BC9"/>
    <w:rsid w:val="00AE2471"/>
    <w:rsid w:val="00AE3081"/>
    <w:rsid w:val="00AE4841"/>
    <w:rsid w:val="00AE55F4"/>
    <w:rsid w:val="00AF1D6E"/>
    <w:rsid w:val="00B00483"/>
    <w:rsid w:val="00B03310"/>
    <w:rsid w:val="00B04791"/>
    <w:rsid w:val="00B059B5"/>
    <w:rsid w:val="00B07F55"/>
    <w:rsid w:val="00B122DD"/>
    <w:rsid w:val="00B12512"/>
    <w:rsid w:val="00B127B1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38DE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D74"/>
    <w:rsid w:val="00BE2E72"/>
    <w:rsid w:val="00BE6328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B64B8"/>
    <w:rsid w:val="00CB716E"/>
    <w:rsid w:val="00CC06E6"/>
    <w:rsid w:val="00CC23DB"/>
    <w:rsid w:val="00CC3EE9"/>
    <w:rsid w:val="00CD3D98"/>
    <w:rsid w:val="00CD409A"/>
    <w:rsid w:val="00CE1942"/>
    <w:rsid w:val="00CE19A3"/>
    <w:rsid w:val="00CE40DB"/>
    <w:rsid w:val="00CF2408"/>
    <w:rsid w:val="00CF4571"/>
    <w:rsid w:val="00D00A9D"/>
    <w:rsid w:val="00D01185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4EBC"/>
    <w:rsid w:val="00DD5F01"/>
    <w:rsid w:val="00DE1192"/>
    <w:rsid w:val="00DE7A03"/>
    <w:rsid w:val="00DF32EC"/>
    <w:rsid w:val="00E04B1E"/>
    <w:rsid w:val="00E05F5A"/>
    <w:rsid w:val="00E10E3D"/>
    <w:rsid w:val="00E11BE0"/>
    <w:rsid w:val="00E12AFF"/>
    <w:rsid w:val="00E246A9"/>
    <w:rsid w:val="00E26371"/>
    <w:rsid w:val="00E407E4"/>
    <w:rsid w:val="00E40D06"/>
    <w:rsid w:val="00E4144D"/>
    <w:rsid w:val="00E440FC"/>
    <w:rsid w:val="00E473CE"/>
    <w:rsid w:val="00E52814"/>
    <w:rsid w:val="00E5359D"/>
    <w:rsid w:val="00E554A8"/>
    <w:rsid w:val="00E56D31"/>
    <w:rsid w:val="00E60D25"/>
    <w:rsid w:val="00E64F5A"/>
    <w:rsid w:val="00E65025"/>
    <w:rsid w:val="00E674D7"/>
    <w:rsid w:val="00E71876"/>
    <w:rsid w:val="00E722FD"/>
    <w:rsid w:val="00E80563"/>
    <w:rsid w:val="00E8082F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4D8D"/>
    <w:rsid w:val="00F67F99"/>
    <w:rsid w:val="00F7017F"/>
    <w:rsid w:val="00F71BFD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103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1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0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3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8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7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2302</Words>
  <Characters>13124</Characters>
  <Application>Microsoft Office Word</Application>
  <DocSecurity>0</DocSecurity>
  <Lines>109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2023-08-01T15:25:00Z</dcterms:created>
  <dcterms:modified xsi:type="dcterms:W3CDTF">2025-06-03T09:39:00Z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